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before="1200"/>
        <w:jc w:val="center"/>
      </w:pPr>
      <w:r>
        <w:drawing>
          <wp:inline distT="0" distB="0" distL="0" distR="0">
            <wp:extent cx="5715000" cy="14287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715000" cy="1428750"/>
                    </a:xfrm>
                    <a:prstGeom prst="rect">
                      <a:avLst/>
                    </a:prstGeom>
                  </pic:spPr>
                </pic:pic>
              </a:graphicData>
            </a:graphic>
          </wp:inline>
        </w:drawing>
      </w:r>
    </w:p>
    <w:p>
      <w:pPr>
        <w:spacing w:after="160"/>
        <w:jc w:val="center"/>
      </w:pPr>
      <w:r>
        <w:rPr>
          <w:b/>
          <w:bCs/>
          <w:color w:val="0F1263"/>
          <w:sz w:val="48"/>
          <w:szCs w:val="48"/>
        </w:rPr>
        <w:t xml:space="preserve">Ortho M&amp;A Playbook</w:t>
      </w:r>
    </w:p>
    <w:p>
      <w:pPr>
        <w:spacing w:after="200"/>
        <w:jc w:val="center"/>
      </w:pPr>
      <w:r>
        <w:rPr>
          <w:color w:val="009DDD"/>
          <w:sz w:val="32"/>
          <w:szCs w:val="32"/>
        </w:rPr>
        <w:t xml:space="preserve">Getting Started — A Reviewer's Guide</w:t>
      </w:r>
    </w:p>
    <w:p>
      <w:pPr>
        <w:spacing w:after="900"/>
        <w:jc w:val="center"/>
      </w:pPr>
      <w:r>
        <w:rPr>
          <w:i/>
          <w:iCs/>
          <w:color w:val="707372"/>
          <w:sz w:val="24"/>
          <w:szCs w:val="24"/>
        </w:rPr>
        <w:t xml:space="preserve">A hands-on tour for stakeholders evaluating the tool</w:t>
      </w:r>
    </w:p>
    <w:p>
      <w:pPr>
        <w:spacing w:after="80"/>
        <w:jc w:val="center"/>
      </w:pPr>
      <w:r>
        <w:rPr>
          <w:color w:val="707372"/>
          <w:sz w:val="20"/>
          <w:szCs w:val="20"/>
        </w:rPr>
        <w:t xml:space="preserve">For: executives, IMO leads, physician champions, and anyone trying the preview and sharing feedback</w:t>
      </w:r>
    </w:p>
    <w:p>
      <w:pPr>
        <w:spacing w:after="80"/>
        <w:jc w:val="center"/>
      </w:pPr>
      <w:r>
        <w:rPr>
          <w:b/>
          <w:bCs/>
          <w:color w:val="006A9C"/>
          <w:sz w:val="20"/>
          <w:szCs w:val="20"/>
        </w:rPr>
        <w:t xml:space="preserve">Preview app: https://sequelorthoplaybook.com</w:t>
      </w:r>
    </w:p>
    <w:p>
      <w:pPr>
        <w:jc w:val="center"/>
      </w:pPr>
      <w:r>
        <w:rPr>
          <w:color w:val="707372"/>
          <w:sz w:val="20"/>
          <w:szCs w:val="20"/>
        </w:rPr>
        <w:t xml:space="preserve">Generated 2026-06-08</w:t>
      </w:r>
    </w:p>
    <w:p>
      <w:pPr>
        <w:pStyle w:val="Heading1"/>
        <w:pageBreakBefore/>
      </w:pPr>
      <w:r>
        <w:t xml:space="preserve">Contents</w:t>
      </w:r>
    </w:p>
    <w:sdt>
      <w:sdtPr>
        <w:alias w:val="Contents"/>
      </w:sdtPr>
      <w:sdtContent>
        <w:p>
          <w:r>
            <w:fldChar w:fldCharType="begin" w:dirty="true"/>
            <w:instrText xml:space="preserve">TOC \h \o "1-2"</w:instrText>
            <w:fldChar w:fldCharType="separate"/>
          </w:r>
        </w:p>
        <w:p>
          <w:r>
            <w:fldChar w:fldCharType="end"/>
          </w:r>
        </w:p>
      </w:sdtContent>
    </w:sdt>
    <w:p>
      <w:pPr>
        <w:pStyle w:val="Heading1"/>
        <w:pageBreakBefore/>
      </w:pPr>
      <w:r>
        <w:t xml:space="preserve">1. Welcome — start here</w:t>
      </w:r>
    </w:p>
    <w:p>
      <w:pPr>
        <w:spacing w:after="120"/>
      </w:pPr>
      <w:r>
        <w:t xml:space="preserve">Thank you for taking the Ortho M&amp;A Playbook for a spin. This short guide is written for people who want to use the tool and tell us what they think — not for the people who run the servers. In about 20 minutes you can create a sample integration, navigate every major screen, generate real downloadable documents, and form an opinion you can give us useful feedback on.</w:t>
      </w:r>
    </w:p>
    <w:p>
      <w:pPr>
        <w:pStyle w:val="Heading2"/>
      </w:pPr>
      <w:r>
        <w:t xml:space="preserve">1.1 What the tool does, in one paragraph</w:t>
      </w:r>
    </w:p>
    <w:p>
      <w:pPr>
        <w:spacing w:after="120"/>
      </w:pPr>
      <w:r>
        <w:t xml:space="preserve">The Ortho M&amp;A Playbook turns a short bit of starting information — the name of the acquiring platform and the clinics it is buying — into a complete, repeatable 90-day integration plan for a multi-clinic orthopedic acquisition. It scaffolds the work into three phases, tracks each task, models the governance and physician-champion structure, surfaces a red/yellow/green program status, and produces a library of polished, downloadable deliverables: Excel workbooks, Word documents, and PowerPoint decks. Claude (the AI assistant) can layer tailored narrative and suggestions on top.</w:t>
      </w:r>
    </w:p>
    <w:p>
      <w:pPr>
        <w:pStyle w:val="Heading2"/>
      </w:pPr>
      <w:r>
        <w:t xml:space="preserve">1.2 What this guide covers — and what it doesn't</w:t>
      </w:r>
    </w:p>
    <w:p>
      <w:pPr>
        <w:pStyle w:val="ListParagraph"/>
        <w:numPr>
          <w:ilvl w:val="0"/>
          <w:numId w:val="2"/>
        </w:numPr>
        <w:spacing w:after="80"/>
      </w:pPr>
      <w:r>
        <w:rPr>
          <w:b/>
          <w:bCs/>
        </w:rPr>
        <w:t xml:space="preserve">This guide covers </w:t>
      </w:r>
      <w:r>
        <w:t xml:space="preserve">how to find your way around the app, a step-by-step first run, what each screen is for, and what the documents it produces are meant to do.</w:t>
      </w:r>
    </w:p>
    <w:p>
      <w:pPr>
        <w:pStyle w:val="ListParagraph"/>
        <w:numPr>
          <w:ilvl w:val="0"/>
          <w:numId w:val="2"/>
        </w:numPr>
        <w:spacing w:after="80"/>
      </w:pPr>
      <w:r>
        <w:rPr>
          <w:b/>
          <w:bCs/>
        </w:rPr>
        <w:t xml:space="preserve">This guide does not cover </w:t>
      </w:r>
      <w:r>
        <w:t xml:space="preserve">installation, deployment, sign-in setup, databases, or anything technical — there is nothing for you to install or configure. If you ever do need that depth, the full User Guide (docs/ortho-playbook-user-guide.docx) has a complete Part II for administrators.</w:t>
      </w:r>
    </w:p>
    <w:p>
      <w:pPr>
        <w:pStyle w:val="Heading2"/>
      </w:pPr>
      <w:r>
        <w:t xml:space="preserve">1.3 This is a preview for gathering feedback</w:t>
      </w:r>
    </w:p>
    <w:p>
      <w:pPr>
        <w:spacing w:after="120"/>
      </w:pPr>
      <w:r>
        <w:t xml:space="preserve">You are using a hosted preview, not a production system. A few things follow from that:</w:t>
      </w:r>
    </w:p>
    <w:p>
      <w:pPr>
        <w:pStyle w:val="ListParagraph"/>
        <w:numPr>
          <w:ilvl w:val="0"/>
          <w:numId w:val="2"/>
        </w:numPr>
        <w:spacing w:after="80"/>
      </w:pPr>
      <w:r>
        <w:t xml:space="preserve">Nothing to install. It runs entirely in your web browser. Just open the link.</w:t>
      </w:r>
    </w:p>
    <w:p>
      <w:pPr>
        <w:pStyle w:val="ListParagraph"/>
        <w:numPr>
          <w:ilvl w:val="0"/>
          <w:numId w:val="2"/>
        </w:numPr>
        <w:spacing w:after="80"/>
      </w:pPr>
      <w:r>
        <w:t xml:space="preserve">No login required on this preview. You can read, create, edit, and download immediately.</w:t>
      </w:r>
    </w:p>
    <w:p>
      <w:pPr>
        <w:pStyle w:val="ListParagraph"/>
        <w:numPr>
          <w:ilvl w:val="0"/>
          <w:numId w:val="2"/>
        </w:numPr>
        <w:spacing w:after="80"/>
      </w:pPr>
      <w:r>
        <w:rPr>
          <w:b/>
          <w:bCs/>
        </w:rPr>
        <w:t xml:space="preserve">Please use sample / fictional data only. </w:t>
      </w:r>
      <w:r>
        <w:t xml:space="preserve">Do not enter real patient information (PHI) or anything confidential. This preview is for evaluating how the tool works, not for running a live deal.</w:t>
      </w:r>
    </w:p>
    <w:p>
      <w:pPr>
        <w:pStyle w:val="ListParagraph"/>
        <w:numPr>
          <w:ilvl w:val="0"/>
          <w:numId w:val="2"/>
        </w:numPr>
        <w:spacing w:after="80"/>
      </w:pPr>
      <w:r>
        <w:t xml:space="preserve">Anything you create may be reset as we ship updates to the preview. Treat the data as disposable.</w:t>
      </w:r>
    </w:p>
    <w:p>
      <w:pPr>
        <w:pStyle w:val="ListParagraph"/>
        <w:numPr>
          <w:ilvl w:val="0"/>
          <w:numId w:val="2"/>
        </w:numPr>
        <w:spacing w:after="80"/>
      </w:pPr>
      <w:r>
        <w:t xml:space="preserve">Because there is no login, anyone with a playbook's link can open it. That is fine for sample data and makes sharing easy — just don't put anything sensitive in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0F1263" w:sz="18"/>
              <w:bottom w:val="none"/>
              <w:right w:val="none"/>
            </w:tcBorders>
            <w:shd w:fill="E6F6FC" w:val="clear"/>
            <w:tcMar>
              <w:top w:type="dxa" w:w="160"/>
              <w:left w:type="dxa" w:w="240"/>
              <w:bottom w:type="dxa" w:w="160"/>
              <w:right w:type="dxa" w:w="240"/>
            </w:tcMar>
          </w:tcPr>
          <w:p>
            <w:pPr>
              <w:spacing w:after="80"/>
            </w:pPr>
            <w:r>
              <w:rPr>
                <w:b/>
                <w:bCs/>
                <w:color w:val="0F1263"/>
              </w:rPr>
              <w:t xml:space="preserve">How to open it</w:t>
            </w:r>
          </w:p>
          <w:p>
            <w:r>
              <w:rPr>
                <w:color w:val="171717"/>
              </w:rPr>
              <w:t xml:space="preserve">Open https://sequelorthoplaybook.com in any modern browser — Chrome, Edge, Safari, or Firefox. If your office network ever blocks it, try a different network (or a phone hotspot); some corporate firewalls are slow to recognize brand-new web addresses.</w:t>
            </w:r>
          </w:p>
        </w:tc>
      </w:tr>
    </w:tbl>
    <w:p>
      <w:pPr>
        <w:pStyle w:val="Heading2"/>
      </w:pPr>
      <w:r>
        <w:t xml:space="preserve">1.4 The 5-minute mental model</w:t>
      </w:r>
    </w:p>
    <w:p>
      <w:pPr>
        <w:spacing w:after="120"/>
      </w:pPr>
      <w:r>
        <w:t xml:space="preserve">Everything in the tool hangs off one simple structure — three phases plus a program view that sits across all of them:</w:t>
      </w:r>
    </w:p>
    <w:p>
      <w:pPr>
        <w:pStyle w:val="ListParagraph"/>
        <w:numPr>
          <w:ilvl w:val="0"/>
          <w:numId w:val="2"/>
        </w:numPr>
        <w:spacing w:after="80"/>
      </w:pPr>
      <w:r>
        <w:rPr>
          <w:b/>
          <w:bCs/>
        </w:rPr>
        <w:t xml:space="preserve">Phase 1 — Discovery &amp; Stabilization. </w:t>
      </w:r>
      <w:r>
        <w:t xml:space="preserve">Figure out what you bought, keep it running, and put a physician champion at each site. (Roughly Days 1–30.)</w:t>
      </w:r>
    </w:p>
    <w:p>
      <w:pPr>
        <w:pStyle w:val="ListParagraph"/>
        <w:numPr>
          <w:ilvl w:val="0"/>
          <w:numId w:val="2"/>
        </w:numPr>
        <w:spacing w:after="80"/>
      </w:pPr>
      <w:r>
        <w:rPr>
          <w:b/>
          <w:bCs/>
        </w:rPr>
        <w:t xml:space="preserve">Phase 2 — Platform Standardization. </w:t>
      </w:r>
      <w:r>
        <w:t xml:space="preserve">Choose the standard systems (EMR, identity, security), plan the data migration, and pilot the change at one site. (Roughly Days 15–75.)</w:t>
      </w:r>
    </w:p>
    <w:p>
      <w:pPr>
        <w:pStyle w:val="ListParagraph"/>
        <w:numPr>
          <w:ilvl w:val="0"/>
          <w:numId w:val="2"/>
        </w:numPr>
        <w:spacing w:after="80"/>
      </w:pPr>
      <w:r>
        <w:rPr>
          <w:b/>
          <w:bCs/>
        </w:rPr>
        <w:t xml:space="preserve">Phase 3 — Optimization &amp; Scale. </w:t>
      </w:r>
      <w:r>
        <w:t xml:space="preserve">Roll out to the remaining sites, unify the reporting, and package everything so the next acquisition is faster. (Roughly Days 60–90+.)</w:t>
      </w:r>
    </w:p>
    <w:p>
      <w:pPr>
        <w:pStyle w:val="ListParagraph"/>
        <w:numPr>
          <w:ilvl w:val="0"/>
          <w:numId w:val="2"/>
        </w:numPr>
        <w:spacing w:after="80"/>
      </w:pPr>
      <w:r>
        <w:rPr>
          <w:b/>
          <w:bCs/>
        </w:rPr>
        <w:t xml:space="preserve">Program. </w:t>
      </w:r>
      <w:r>
        <w:t xml:space="preserve">The cross-cutting status view — overall health, budget, timeline, and the place to download the executive deliverables.</w:t>
      </w:r>
    </w:p>
    <w:p>
      <w:pPr>
        <w:spacing w:after="120"/>
      </w:pPr>
      <w:r>
        <w:t xml:space="preserve">Inside each phase, the actual work is broken into Work Items — small, trackable tasks you can assign, take notes on, and mark complete. That's the whole model. The rest of this guide just shows you where everything lives.</w:t>
      </w:r>
    </w:p>
    <w:p>
      <w:pPr>
        <w:pStyle w:val="Heading1"/>
        <w:pageBreakBefore/>
      </w:pPr>
      <w:r>
        <w:t xml:space="preserve">2. Finding your way around</w:t>
      </w:r>
    </w:p>
    <w:p>
      <w:pPr>
        <w:pStyle w:val="Heading2"/>
      </w:pPr>
      <w:r>
        <w:t xml:space="preserve">2.1 The home page</w:t>
      </w:r>
    </w:p>
    <w:p>
      <w:pPr>
        <w:spacing w:after="120"/>
      </w:pPr>
      <w:r>
        <w:t xml:space="preserve">When you open the app you land on a hub with four large tiles: Phase 1, Phase 2, Phase 3, and Program. Each tile is a doorway into that part of the work, and each shows a small progress bar once you have an integration going.</w:t>
      </w:r>
    </w:p>
    <w:p>
      <w:pPr>
        <w:pStyle w:val="ListParagraph"/>
        <w:numPr>
          <w:ilvl w:val="0"/>
          <w:numId w:val="2"/>
        </w:numPr>
        <w:spacing w:after="80"/>
      </w:pPr>
      <w:r>
        <w:t xml:space="preserve">If you have not created an integration yet, clicking any tile takes you to a short setup form first.</w:t>
      </w:r>
    </w:p>
    <w:p>
      <w:pPr>
        <w:pStyle w:val="ListParagraph"/>
        <w:numPr>
          <w:ilvl w:val="0"/>
          <w:numId w:val="2"/>
        </w:numPr>
        <w:spacing w:after="80"/>
      </w:pPr>
      <w:r>
        <w:t xml:space="preserve">If you already have one active, clicking a phase tile drops you straight into that phase's task list, and the Program tile opens the program status hub.</w:t>
      </w:r>
    </w:p>
    <w:p>
      <w:pPr>
        <w:spacing w:after="120"/>
      </w:pPr>
      <w:r>
        <w:t xml:space="preserve">In the header you'll also find two shortcuts for getting back to earlier work, and a one-click download for this guide:</w:t>
      </w:r>
    </w:p>
    <w:p>
      <w:pPr>
        <w:pStyle w:val="ListParagraph"/>
        <w:numPr>
          <w:ilvl w:val="0"/>
          <w:numId w:val="2"/>
        </w:numPr>
        <w:spacing w:after="80"/>
      </w:pPr>
      <w:r>
        <w:rPr>
          <w:b/>
          <w:bCs/>
        </w:rPr>
        <w:t xml:space="preserve">View last </w:t>
      </w:r>
      <w:r>
        <w:t xml:space="preserve">— reopens the most recent playbook you looked at on this browser.</w:t>
      </w:r>
    </w:p>
    <w:p>
      <w:pPr>
        <w:pStyle w:val="ListParagraph"/>
        <w:numPr>
          <w:ilvl w:val="0"/>
          <w:numId w:val="2"/>
        </w:numPr>
        <w:spacing w:after="80"/>
      </w:pPr>
      <w:r>
        <w:rPr>
          <w:b/>
          <w:bCs/>
        </w:rPr>
        <w:t xml:space="preserve">View a prior playbook </w:t>
      </w:r>
      <w:r>
        <w:t xml:space="preserve">— shows a list of every playbook so you can pick one. Handy if you switch computers or come back later.</w:t>
      </w:r>
    </w:p>
    <w:p>
      <w:pPr>
        <w:pStyle w:val="ListParagraph"/>
        <w:numPr>
          <w:ilvl w:val="0"/>
          <w:numId w:val="2"/>
        </w:numPr>
        <w:spacing w:after="80"/>
      </w:pPr>
      <w:r>
        <w:rPr>
          <w:b/>
          <w:bCs/>
        </w:rPr>
        <w:t xml:space="preserve">Reviewer guide </w:t>
      </w:r>
      <w:r>
        <w:t xml:space="preserve">— downloads this document, so testers can always find it from inside the app.</w:t>
      </w:r>
    </w:p>
    <w:p>
      <w:pPr>
        <w:pStyle w:val="Heading2"/>
      </w:pPr>
      <w:r>
        <w:t xml:space="preserve">2.2 How the screens connect</w:t>
      </w:r>
    </w:p>
    <w:p>
      <w:pPr>
        <w:spacing w:after="120"/>
      </w:pPr>
      <w:r>
        <w:t xml:space="preserve">There are only a handful of screens. Here's the map: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380"/>
        <w:gridCol w:w="3380"/>
      </w:tblGrid>
      <w:tr>
        <w:trPr>
          <w:tblHeader/>
        </w:trPr>
        <w:tc>
          <w:tcPr>
            <w:tcW w:type="dxa" w:w="2600"/>
            <w:tcBorders>
              <w:top w:val="single" w:color="D7DBE0" w:sz="4"/>
              <w:left w:val="single" w:color="D7DBE0" w:sz="4"/>
              <w:bottom w:val="single" w:color="D7DBE0" w:sz="4"/>
              <w:right w:val="single" w:color="D7DBE0" w:sz="4"/>
            </w:tcBorders>
            <w:shd w:fill="C3EAF8" w:val="clear"/>
            <w:tcMar>
              <w:top w:type="dxa" w:w="80"/>
              <w:left w:type="dxa" w:w="120"/>
              <w:bottom w:type="dxa" w:w="80"/>
              <w:right w:type="dxa" w:w="120"/>
            </w:tcMar>
          </w:tcPr>
          <w:p>
            <w:r>
              <w:rPr>
                <w:b/>
                <w:bCs/>
                <w:color w:val="0F1263"/>
              </w:rPr>
              <w:t xml:space="preserve">Screen</w:t>
            </w:r>
          </w:p>
        </w:tc>
        <w:tc>
          <w:tcPr>
            <w:tcW w:type="dxa" w:w="3380"/>
            <w:tcBorders>
              <w:top w:val="single" w:color="D7DBE0" w:sz="4"/>
              <w:left w:val="single" w:color="D7DBE0" w:sz="4"/>
              <w:bottom w:val="single" w:color="D7DBE0" w:sz="4"/>
              <w:right w:val="single" w:color="D7DBE0" w:sz="4"/>
            </w:tcBorders>
            <w:shd w:fill="C3EAF8" w:val="clear"/>
            <w:tcMar>
              <w:top w:type="dxa" w:w="80"/>
              <w:left w:type="dxa" w:w="120"/>
              <w:bottom w:type="dxa" w:w="80"/>
              <w:right w:type="dxa" w:w="120"/>
            </w:tcMar>
          </w:tcPr>
          <w:p>
            <w:r>
              <w:rPr>
                <w:b/>
                <w:bCs/>
                <w:color w:val="0F1263"/>
              </w:rPr>
              <w:t xml:space="preserve">What it's for</w:t>
            </w:r>
          </w:p>
        </w:tc>
        <w:tc>
          <w:tcPr>
            <w:tcW w:type="dxa" w:w="3380"/>
            <w:tcBorders>
              <w:top w:val="single" w:color="D7DBE0" w:sz="4"/>
              <w:left w:val="single" w:color="D7DBE0" w:sz="4"/>
              <w:bottom w:val="single" w:color="D7DBE0" w:sz="4"/>
              <w:right w:val="single" w:color="D7DBE0" w:sz="4"/>
            </w:tcBorders>
            <w:shd w:fill="C3EAF8" w:val="clear"/>
            <w:tcMar>
              <w:top w:type="dxa" w:w="80"/>
              <w:left w:type="dxa" w:w="120"/>
              <w:bottom w:type="dxa" w:w="80"/>
              <w:right w:type="dxa" w:w="120"/>
            </w:tcMar>
          </w:tcPr>
          <w:p>
            <w:r>
              <w:rPr>
                <w:b/>
                <w:bCs/>
                <w:color w:val="0F1263"/>
              </w:rPr>
              <w:t xml:space="preserve">How you get there</w:t>
            </w:r>
          </w:p>
        </w:tc>
      </w:tr>
      <w:tr>
        <w:tc>
          <w:tcPr>
            <w:tcW w:type="dxa" w:w="260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Home</w:t>
            </w:r>
          </w:p>
        </w:tc>
        <w:tc>
          <w:tcPr>
            <w:tcW w:type="dxa" w:w="338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The four-tile hub and entry point</w:t>
            </w:r>
          </w:p>
        </w:tc>
        <w:tc>
          <w:tcPr>
            <w:tcW w:type="dxa" w:w="338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The app's main address</w:t>
            </w:r>
          </w:p>
        </w:tc>
      </w:tr>
      <w:tr>
        <w:tc>
          <w:tcPr>
            <w:tcW w:type="dxa" w:w="260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Setup</w:t>
            </w:r>
          </w:p>
        </w:tc>
        <w:tc>
          <w:tcPr>
            <w:tcW w:type="dxa" w:w="338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Name the platform and clinics to start</w:t>
            </w:r>
          </w:p>
        </w:tc>
        <w:tc>
          <w:tcPr>
            <w:tcW w:type="dxa" w:w="338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Click a tile with no integration yet</w:t>
            </w:r>
          </w:p>
        </w:tc>
      </w:tr>
      <w:tr>
        <w:tc>
          <w:tcPr>
            <w:tcW w:type="dxa" w:w="260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Phase workspace</w:t>
            </w:r>
          </w:p>
        </w:tc>
        <w:tc>
          <w:tcPr>
            <w:tcW w:type="dxa" w:w="338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The task list (Work Items) for a phase, with an editor for each task</w:t>
            </w:r>
          </w:p>
        </w:tc>
        <w:tc>
          <w:tcPr>
            <w:tcW w:type="dxa" w:w="338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Click a phase tile</w:t>
            </w:r>
          </w:p>
        </w:tc>
      </w:tr>
      <w:tr>
        <w:tc>
          <w:tcPr>
            <w:tcW w:type="dxa" w:w="260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Program hub</w:t>
            </w:r>
          </w:p>
        </w:tc>
        <w:tc>
          <w:tcPr>
            <w:tcW w:type="dxa" w:w="338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Overall status, budget, and the export catalog</w:t>
            </w:r>
          </w:p>
        </w:tc>
        <w:tc>
          <w:tcPr>
            <w:tcW w:type="dxa" w:w="338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Click the Program tile</w:t>
            </w:r>
          </w:p>
        </w:tc>
      </w:tr>
      <w:tr>
        <w:tc>
          <w:tcPr>
            <w:tcW w:type="dxa" w:w="260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Playbook viewer</w:t>
            </w:r>
          </w:p>
        </w:tc>
        <w:tc>
          <w:tcPr>
            <w:tcW w:type="dxa" w:w="338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A single read-through of the whole plan</w:t>
            </w:r>
          </w:p>
        </w:tc>
        <w:tc>
          <w:tcPr>
            <w:tcW w:type="dxa" w:w="338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Linked from the phase and program screens</w:t>
            </w:r>
          </w:p>
        </w:tc>
      </w:tr>
    </w:tbl>
    <w:p>
      <w:pPr>
        <w:spacing w:after="120"/>
      </w:pPr>
      <w:r>
        <w:t xml:space="preserve">You can always get back to the home page from the header, and any screen can be bookmarked or shared as a link.</w:t>
      </w:r>
    </w:p>
    <w:p>
      <w:pPr>
        <w:pStyle w:val="Heading1"/>
        <w:pageBreakBefore/>
      </w:pPr>
      <w:r>
        <w:t xml:space="preserve">3. A 20-minute guided walkthrough</w:t>
      </w:r>
    </w:p>
    <w:p>
      <w:pPr>
        <w:spacing w:after="120"/>
      </w:pPr>
      <w:r>
        <w:t xml:space="preserve">This is the fastest way to understand the tool: do it, don't just read about it. Follow these steps in order. Each step says what to do and what you should see.</w:t>
      </w:r>
    </w:p>
    <w:p>
      <w:pPr>
        <w:pStyle w:val="Heading2"/>
      </w:pPr>
      <w:r>
        <w:t xml:space="preserve">Step 1 — Create a sample integration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006A9C" w:sz="18"/>
              <w:bottom w:val="none"/>
              <w:right w:val="none"/>
            </w:tcBorders>
            <w:shd w:fill="F4F6D9" w:val="clear"/>
            <w:tcMar>
              <w:top w:type="dxa" w:w="160"/>
              <w:left w:type="dxa" w:w="240"/>
              <w:bottom w:type="dxa" w:w="160"/>
              <w:right w:type="dxa" w:w="240"/>
            </w:tcMar>
          </w:tcPr>
          <w:p>
            <w:pPr>
              <w:spacing w:after="80"/>
            </w:pPr>
            <w:r>
              <w:rPr>
                <w:b/>
                <w:bCs/>
                <w:color w:val="006A9C"/>
              </w:rPr>
              <w:t xml:space="preserve">Do this</w:t>
            </w:r>
          </w:p>
          <w:p>
            <w:r>
              <w:rPr>
                <w:color w:val="171717"/>
              </w:rPr>
              <w:t xml:space="preserve">From the home page, click the Phase 1 tile. You'll be taken to a short setup form. Enter a made-up platform name (for example, "Summit Orthopedic Partners") and a few clinic names, one per line (for example, "Riverside Ortho," "Lakeview Bone &amp; Joint," "Capitol Sports Medicine"). Leave the go-live target at 90 days. Submit.</w:t>
            </w:r>
          </w:p>
        </w:tc>
      </w:tr>
    </w:tbl>
    <w:p>
      <w:pPr>
        <w:spacing w:after="120"/>
      </w:pPr>
      <w:r>
        <w:t xml:space="preserve">What you should see: the app creates your playbook and drops you into the Phase 1 workspace. That's all the setup there is — everything else is filled in as you go, not up front.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0F1263" w:sz="18"/>
              <w:bottom w:val="none"/>
              <w:right w:val="none"/>
            </w:tcBorders>
            <w:shd w:fill="E6F6FC" w:val="clear"/>
            <w:tcMar>
              <w:top w:type="dxa" w:w="160"/>
              <w:left w:type="dxa" w:w="240"/>
              <w:bottom w:type="dxa" w:w="160"/>
              <w:right w:type="dxa" w:w="240"/>
            </w:tcMar>
          </w:tcPr>
          <w:p>
            <w:pPr>
              <w:spacing w:after="80"/>
            </w:pPr>
            <w:r>
              <w:rPr>
                <w:b/>
                <w:bCs/>
                <w:color w:val="0F1263"/>
              </w:rPr>
              <w:t xml:space="preserve">Why so little to start</w:t>
            </w:r>
          </w:p>
          <w:p>
            <w:r>
              <w:rPr>
                <w:color w:val="171717"/>
              </w:rPr>
              <w:t xml:space="preserve">On the real day an acquisition is signed, you rarely know every clinic's systems and staff yet. The tool is built to start with almost nothing and let detail accumulate over time, which is why the setup form only asks for names.</w:t>
            </w:r>
          </w:p>
        </w:tc>
      </w:tr>
    </w:tbl>
    <w:p>
      <w:pPr>
        <w:pStyle w:val="Heading2"/>
      </w:pPr>
      <w:r>
        <w:t xml:space="preserve">Step 2 — Look at the Phase 1 task 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006A9C" w:sz="18"/>
              <w:bottom w:val="none"/>
              <w:right w:val="none"/>
            </w:tcBorders>
            <w:shd w:fill="F4F6D9" w:val="clear"/>
            <w:tcMar>
              <w:top w:type="dxa" w:w="160"/>
              <w:left w:type="dxa" w:w="240"/>
              <w:bottom w:type="dxa" w:w="160"/>
              <w:right w:type="dxa" w:w="240"/>
            </w:tcMar>
          </w:tcPr>
          <w:p>
            <w:pPr>
              <w:spacing w:after="80"/>
            </w:pPr>
            <w:r>
              <w:rPr>
                <w:b/>
                <w:bCs/>
                <w:color w:val="006A9C"/>
              </w:rPr>
              <w:t xml:space="preserve">Do this</w:t>
            </w:r>
          </w:p>
          <w:p>
            <w:r>
              <w:rPr>
                <w:color w:val="171717"/>
              </w:rPr>
              <w:t xml:space="preserve">Scan the list of Work Items down the left side of the Phase 1 screen. Click a few to open them on the right.</w:t>
            </w:r>
          </w:p>
        </w:tc>
      </w:tr>
    </w:tbl>
    <w:p>
      <w:pPr>
        <w:spacing w:after="120"/>
      </w:pPr>
      <w:r>
        <w:t xml:space="preserve">What you should see: a rail of tasks such as the clinic due-diligence questionnaire, technology inventory, workflow mapping, vendor contract review, and physician champions. Each shows a status (Not started / In progress / Complete), an owner role, and a target day range. Selecting one opens its editor on the right.</w:t>
      </w:r>
    </w:p>
    <w:p>
      <w:pPr>
        <w:pStyle w:val="Heading2"/>
      </w:pPr>
      <w:r>
        <w:t xml:space="preserve">Step 3 — Fill in a Work Item and watch the status change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006A9C" w:sz="18"/>
              <w:bottom w:val="none"/>
              <w:right w:val="none"/>
            </w:tcBorders>
            <w:shd w:fill="F4F6D9" w:val="clear"/>
            <w:tcMar>
              <w:top w:type="dxa" w:w="160"/>
              <w:left w:type="dxa" w:w="240"/>
              <w:bottom w:type="dxa" w:w="160"/>
              <w:right w:type="dxa" w:w="240"/>
            </w:tcMar>
          </w:tcPr>
          <w:p>
            <w:pPr>
              <w:spacing w:after="80"/>
            </w:pPr>
            <w:r>
              <w:rPr>
                <w:b/>
                <w:bCs/>
                <w:color w:val="006A9C"/>
              </w:rPr>
              <w:t xml:space="preserve">Do this</w:t>
            </w:r>
          </w:p>
          <w:p>
            <w:r>
              <w:rPr>
                <w:color w:val="171717"/>
              </w:rPr>
              <w:t xml:space="preserve">Open the Champions Work Item. Type a name into one of the per-site champion fields (for example, a Surgeon Lead). Then look back at the task in the left rail.</w:t>
            </w:r>
          </w:p>
        </w:tc>
      </w:tr>
    </w:tbl>
    <w:p>
      <w:pPr>
        <w:spacing w:after="120"/>
      </w:pPr>
      <w:r>
        <w:t xml:space="preserve">What you should see: as soon as you start typing, the task quietly flips from "Not started" to "In progress." You never have to flip that switch manually. When you've done enough, you can explicitly mark it Complete — the tool will never decide that for you.</w:t>
      </w:r>
    </w:p>
    <w:p>
      <w:pPr>
        <w:pStyle w:val="Heading2"/>
      </w:pPr>
      <w:r>
        <w:t xml:space="preserve">Step 4 — Try the clinic due-diligence questionnaire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006A9C" w:sz="18"/>
              <w:bottom w:val="none"/>
              <w:right w:val="none"/>
            </w:tcBorders>
            <w:shd w:fill="F4F6D9" w:val="clear"/>
            <w:tcMar>
              <w:top w:type="dxa" w:w="160"/>
              <w:left w:type="dxa" w:w="240"/>
              <w:bottom w:type="dxa" w:w="160"/>
              <w:right w:type="dxa" w:w="240"/>
            </w:tcMar>
          </w:tcPr>
          <w:p>
            <w:pPr>
              <w:spacing w:after="80"/>
            </w:pPr>
            <w:r>
              <w:rPr>
                <w:b/>
                <w:bCs/>
                <w:color w:val="006A9C"/>
              </w:rPr>
              <w:t xml:space="preserve">Do this</w:t>
            </w:r>
          </w:p>
          <w:p>
            <w:r>
              <w:rPr>
                <w:color w:val="171717"/>
              </w:rPr>
              <w:t xml:space="preserve">Open the first Phase 1 item, the clinic due-diligence questionnaire. Answer a few questions for one clinic and notice how follow-up questions appear based on your answers.</w:t>
            </w:r>
          </w:p>
        </w:tc>
      </w:tr>
    </w:tbl>
    <w:p>
      <w:pPr>
        <w:spacing w:after="120"/>
      </w:pPr>
      <w:r>
        <w:t xml:space="preserve">What you should see: a guided intake that reveals follow-up questions only when they're relevant, plus a live panel that flags risk areas (for example, an EMR that differs from the platform standard, or a missing security assessment). This is a good showcase of how the tool turns answers into insight rather than just storing them.</w:t>
      </w:r>
    </w:p>
    <w:p>
      <w:pPr>
        <w:pStyle w:val="Heading2"/>
      </w:pPr>
      <w:r>
        <w:t xml:space="preserve">Step 5 — Ask Claude for help on a task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006A9C" w:sz="18"/>
              <w:bottom w:val="none"/>
              <w:right w:val="none"/>
            </w:tcBorders>
            <w:shd w:fill="F4F6D9" w:val="clear"/>
            <w:tcMar>
              <w:top w:type="dxa" w:w="160"/>
              <w:left w:type="dxa" w:w="240"/>
              <w:bottom w:type="dxa" w:w="160"/>
              <w:right w:type="dxa" w:w="240"/>
            </w:tcMar>
          </w:tcPr>
          <w:p>
            <w:pPr>
              <w:spacing w:after="80"/>
            </w:pPr>
            <w:r>
              <w:rPr>
                <w:b/>
                <w:bCs/>
                <w:color w:val="006A9C"/>
              </w:rPr>
              <w:t xml:space="preserve">Do this</w:t>
            </w:r>
          </w:p>
          <w:p>
            <w:r>
              <w:rPr>
                <w:color w:val="171717"/>
              </w:rPr>
              <w:t xml:space="preserve">On any Work Item, find the "Ortho-specific assist (Claude)" panel and click Ask Claude. Wait a few seconds.</w:t>
            </w:r>
          </w:p>
        </w:tc>
      </w:tr>
    </w:tbl>
    <w:p>
      <w:pPr>
        <w:spacing w:after="120"/>
      </w:pPr>
      <w:r>
        <w:t xml:space="preserve">What you should see: a tailored suggestion built from your specific inputs — a short summary, a list of concrete next steps, ortho-specific notes, any risks worth flagging, and a ready-to-paste draft note. A "Use as notes" button drops the draft into the task's notes so you can edit it. Try it on two or three items in a row; it's meant to be used freely.</w:t>
      </w:r>
    </w:p>
    <w:p>
      <w:pPr>
        <w:pStyle w:val="Heading2"/>
      </w:pPr>
      <w:r>
        <w:t xml:space="preserve">Step 6 — Download a deliverable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006A9C" w:sz="18"/>
              <w:bottom w:val="none"/>
              <w:right w:val="none"/>
            </w:tcBorders>
            <w:shd w:fill="F4F6D9" w:val="clear"/>
            <w:tcMar>
              <w:top w:type="dxa" w:w="160"/>
              <w:left w:type="dxa" w:w="240"/>
              <w:bottom w:type="dxa" w:w="160"/>
              <w:right w:type="dxa" w:w="240"/>
            </w:tcMar>
          </w:tcPr>
          <w:p>
            <w:pPr>
              <w:spacing w:after="80"/>
            </w:pPr>
            <w:r>
              <w:rPr>
                <w:b/>
                <w:bCs/>
                <w:color w:val="006A9C"/>
              </w:rPr>
              <w:t xml:space="preserve">Do this</w:t>
            </w:r>
          </w:p>
          <w:p>
            <w:r>
              <w:rPr>
                <w:color w:val="171717"/>
              </w:rPr>
              <w:t xml:space="preserve">Look for a download chip on a Work Item card (for example, on Technology inventory), or go to the Program hub's export catalog. Download one Excel workbook and one Word or PowerPoint file and open them.</w:t>
            </w:r>
          </w:p>
        </w:tc>
      </w:tr>
    </w:tbl>
    <w:p>
      <w:pPr>
        <w:spacing w:after="120"/>
      </w:pPr>
      <w:r>
        <w:t xml:space="preserve">What you should see: real, formatted Office documents — not screenshots or placeholders. The workbooks come pre-filled with the clinics and systems you entered, so you're editing rather than starting from a blank page. Section 5 explains what each document is for.</w:t>
      </w:r>
    </w:p>
    <w:p>
      <w:pPr>
        <w:pStyle w:val="Heading2"/>
      </w:pPr>
      <w:r>
        <w:t xml:space="preserve">Step 7 — Open the Program hub</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006A9C" w:sz="18"/>
              <w:bottom w:val="none"/>
              <w:right w:val="none"/>
            </w:tcBorders>
            <w:shd w:fill="F4F6D9" w:val="clear"/>
            <w:tcMar>
              <w:top w:type="dxa" w:w="160"/>
              <w:left w:type="dxa" w:w="240"/>
              <w:bottom w:type="dxa" w:w="160"/>
              <w:right w:type="dxa" w:w="240"/>
            </w:tcMar>
          </w:tcPr>
          <w:p>
            <w:pPr>
              <w:spacing w:after="80"/>
            </w:pPr>
            <w:r>
              <w:rPr>
                <w:b/>
                <w:bCs/>
                <w:color w:val="006A9C"/>
              </w:rPr>
              <w:t xml:space="preserve">Do this</w:t>
            </w:r>
          </w:p>
          <w:p>
            <w:r>
              <w:rPr>
                <w:color w:val="171717"/>
              </w:rPr>
              <w:t xml:space="preserve">Click the Program tile (or its link). Scroll through the whole page.</w:t>
            </w:r>
          </w:p>
        </w:tc>
      </w:tr>
    </w:tbl>
    <w:p>
      <w:pPr>
        <w:spacing w:after="120"/>
      </w:pPr>
      <w:r>
        <w:t xml:space="preserve">What you should see: a red/yellow/green status panel (Overall, Timeline, Budget, Issues), phase-by-phase progress bars, an editable financials section, a preview of the next 30 days and the decisions the steering committee needs to make, the KPI dashboard, and the full catalog of downloadable documents. This is the one-page status view an executive sponsor would look at each week.</w:t>
      </w:r>
    </w:p>
    <w:p>
      <w:pPr>
        <w:pStyle w:val="Heading2"/>
      </w:pPr>
      <w:r>
        <w:t xml:space="preserve">Step 8 — Generate the full narrative with Claude (optional)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006A9C" w:sz="18"/>
              <w:bottom w:val="none"/>
              <w:right w:val="none"/>
            </w:tcBorders>
            <w:shd w:fill="F4F6D9" w:val="clear"/>
            <w:tcMar>
              <w:top w:type="dxa" w:w="160"/>
              <w:left w:type="dxa" w:w="240"/>
              <w:bottom w:type="dxa" w:w="160"/>
              <w:right w:type="dxa" w:w="240"/>
            </w:tcMar>
          </w:tcPr>
          <w:p>
            <w:pPr>
              <w:spacing w:after="80"/>
            </w:pPr>
            <w:r>
              <w:rPr>
                <w:b/>
                <w:bCs/>
                <w:color w:val="006A9C"/>
              </w:rPr>
              <w:t xml:space="preserve">Do this</w:t>
            </w:r>
          </w:p>
          <w:p>
            <w:r>
              <w:rPr>
                <w:color w:val="171717"/>
              </w:rPr>
              <w:t xml:space="preserve">On the playbook viewer, click the Augment button and wait 30–60 seconds.</w:t>
            </w:r>
          </w:p>
        </w:tc>
      </w:tr>
    </w:tbl>
    <w:p>
      <w:pPr>
        <w:spacing w:after="120"/>
      </w:pPr>
      <w:r>
        <w:t xml:space="preserve">What you should see: Claude writes an executive summary, a short brief for each phase, acquisition-specific risks, and a note for each clinic — all tailored to the sample you built. This is the narrative an executive audience expects on top of the structured plan.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0F1263" w:sz="18"/>
              <w:bottom w:val="none"/>
              <w:right w:val="none"/>
            </w:tcBorders>
            <w:shd w:fill="E6F6FC" w:val="clear"/>
            <w:tcMar>
              <w:top w:type="dxa" w:w="160"/>
              <w:left w:type="dxa" w:w="240"/>
              <w:bottom w:type="dxa" w:w="160"/>
              <w:right w:type="dxa" w:w="240"/>
            </w:tcMar>
          </w:tcPr>
          <w:p>
            <w:pPr>
              <w:spacing w:after="80"/>
            </w:pPr>
            <w:r>
              <w:rPr>
                <w:b/>
                <w:bCs/>
                <w:color w:val="0F1263"/>
              </w:rPr>
              <w:t xml:space="preserve">That's the whole tour</w:t>
            </w:r>
          </w:p>
          <w:p>
            <w:r>
              <w:rPr>
                <w:color w:val="171717"/>
              </w:rPr>
              <w:t xml:space="preserve">If you completed these eight steps you've touched every major capability: setup, the phase task lists, status tracking, the due-diligence intake, AI assistance, document generation, and the program status view. The rest of this guide is reference you can dip into as needed.</w:t>
            </w:r>
          </w:p>
        </w:tc>
      </w:tr>
    </w:tbl>
    <w:p>
      <w:pPr>
        <w:pStyle w:val="Heading1"/>
        <w:pageBreakBefore/>
      </w:pPr>
      <w:r>
        <w:t xml:space="preserve">4. Working inside a phase</w:t>
      </w:r>
    </w:p>
    <w:p>
      <w:pPr>
        <w:spacing w:after="120"/>
      </w:pPr>
      <w:r>
        <w:t xml:space="preserve">Each phase screen is split in two: a list of Work Items on the left, and the editor for whichever one you've selected on the right.</w:t>
      </w:r>
    </w:p>
    <w:p>
      <w:pPr>
        <w:pStyle w:val="Heading2"/>
      </w:pPr>
      <w:r>
        <w:t xml:space="preserve">4.1 The task list (left side)</w:t>
      </w:r>
    </w:p>
    <w:p>
      <w:pPr>
        <w:spacing w:after="120"/>
      </w:pPr>
      <w:r>
        <w:t xml:space="preserve">Every task in the phase shows its title, a status badge, the owner role responsible for it, and the target day range relative to kickoff. The list stays put while you scroll the editor, so you never lose your place.</w:t>
      </w:r>
    </w:p>
    <w:p>
      <w:pPr>
        <w:pStyle w:val="Heading2"/>
      </w:pPr>
      <w:r>
        <w:t xml:space="preserve">4.2 The editor (right side)</w:t>
      </w:r>
    </w:p>
    <w:p>
      <w:pPr>
        <w:spacing w:after="120"/>
      </w:pPr>
      <w:r>
        <w:t xml:space="preserve">Every task editor has the same top section — a place to set the status, name an assignee, adjust dates if reality differs from the plan, and keep notes. Below that, many tasks have a richer, purpose-built form that captures exactly the information that task needs (for example, a per-site systems inventory, a vendor contract register, or a migration plan). Tasks that don't need a special form simply use the standard notes-and-status shell.</w:t>
      </w:r>
    </w:p>
    <w:p>
      <w:pPr>
        <w:pStyle w:val="Heading2"/>
      </w:pPr>
      <w:r>
        <w:t xml:space="preserve">4.3 How status works</w:t>
      </w:r>
    </w:p>
    <w:p>
      <w:pPr>
        <w:pStyle w:val="ListParagraph"/>
        <w:numPr>
          <w:ilvl w:val="0"/>
          <w:numId w:val="2"/>
        </w:numPr>
        <w:spacing w:after="80"/>
      </w:pPr>
      <w:r>
        <w:rPr>
          <w:b/>
          <w:bCs/>
        </w:rPr>
        <w:t xml:space="preserve">Not started → In progress is automatic. </w:t>
      </w:r>
      <w:r>
        <w:t xml:space="preserve">The moment you edit anything in a task, it moves to In progress. No manual toggle needed.</w:t>
      </w:r>
    </w:p>
    <w:p>
      <w:pPr>
        <w:pStyle w:val="ListParagraph"/>
        <w:numPr>
          <w:ilvl w:val="0"/>
          <w:numId w:val="2"/>
        </w:numPr>
        <w:spacing w:after="80"/>
      </w:pPr>
      <w:r>
        <w:rPr>
          <w:b/>
          <w:bCs/>
        </w:rPr>
        <w:t xml:space="preserve">Complete is always your call. </w:t>
      </w:r>
      <w:r>
        <w:t xml:space="preserve">The tool never marks something done for you; you decide when a task is finished. Completing a task is what drives the progress bars and the timeline status.</w:t>
      </w:r>
    </w:p>
    <w:p>
      <w:pPr>
        <w:pStyle w:val="Heading2"/>
      </w:pPr>
      <w:r>
        <w:t xml:space="preserve">4.4 What lives in each phase</w:t>
      </w:r>
    </w:p>
    <w:p>
      <w:pPr>
        <w:spacing w:after="120"/>
      </w:pPr>
      <w:r>
        <w:t xml:space="preserve">You don't need to memorize this — it's here so you know what to look for as you explore.</w:t>
      </w:r>
    </w:p>
    <w:p>
      <w:pPr>
        <w:pStyle w:val="ListParagraph"/>
        <w:numPr>
          <w:ilvl w:val="0"/>
          <w:numId w:val="2"/>
        </w:numPr>
        <w:spacing w:after="80"/>
      </w:pPr>
      <w:r>
        <w:rPr>
          <w:b/>
          <w:bCs/>
        </w:rPr>
        <w:t xml:space="preserve">Phase 1: </w:t>
      </w:r>
      <w:r>
        <w:t xml:space="preserve">clinic due-diligence questionnaire, technology inventory, workflow mapping, vendor contract review, interim connectivity, helpdesk stand-up, physician champions, security assessment, back-office (finance/HR) assessment, and the physician-value commitment.</w:t>
      </w:r>
    </w:p>
    <w:p>
      <w:pPr>
        <w:pStyle w:val="ListParagraph"/>
        <w:numPr>
          <w:ilvl w:val="0"/>
          <w:numId w:val="2"/>
        </w:numPr>
        <w:spacing w:after="80"/>
      </w:pPr>
      <w:r>
        <w:rPr>
          <w:b/>
          <w:bCs/>
        </w:rPr>
        <w:t xml:space="preserve">Phase 2: </w:t>
      </w:r>
      <w:r>
        <w:t xml:space="preserve">the EMR/PM decision, the data migration plan, RCM (billing) standardization, scheduling and intake standardization, unified identity, the security baseline rollout, the move onto the standard operational and back-office systems, and a pilot cutover at one site.</w:t>
      </w:r>
    </w:p>
    <w:p>
      <w:pPr>
        <w:pStyle w:val="ListParagraph"/>
        <w:numPr>
          <w:ilvl w:val="0"/>
          <w:numId w:val="2"/>
        </w:numPr>
        <w:spacing w:after="80"/>
      </w:pPr>
      <w:r>
        <w:rPr>
          <w:b/>
          <w:bCs/>
        </w:rPr>
        <w:t xml:space="preserve">Phase 3: </w:t>
      </w:r>
      <w:r>
        <w:t xml:space="preserve">the site-by-site rollout schedule, unified analytics, the templated playbook for the next deal, an AI/automation backlog, implant-cost analytics, and a board-ready exit-readiness scorecard.</w:t>
      </w:r>
    </w:p>
    <w:p>
      <w:pPr>
        <w:pStyle w:val="Heading1"/>
        <w:pageBreakBefore/>
      </w:pPr>
      <w:r>
        <w:t xml:space="preserve">5. Understanding the outputs</w:t>
      </w:r>
    </w:p>
    <w:p>
      <w:pPr>
        <w:spacing w:after="120"/>
      </w:pPr>
      <w:r>
        <w:t xml:space="preserve">The whole point of the tool is the deliverables it produces. Everything downloads as a standard Office file (Excel, Word, or PowerPoint) so you can open, edit, and share it with no special software. You'll find them on the Program hub's export catalog (filterable by phase) and, for many tasks, as a one-click chip right on the Work Item.</w:t>
      </w:r>
    </w:p>
    <w:p>
      <w:pPr>
        <w:pStyle w:val="Heading2"/>
      </w:pPr>
      <w:r>
        <w:t xml:space="preserve">5.1 The headline documents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380"/>
        <w:gridCol w:w="3380"/>
      </w:tblGrid>
      <w:tr>
        <w:trPr>
          <w:tblHeader/>
        </w:trPr>
        <w:tc>
          <w:tcPr>
            <w:tcW w:type="dxa" w:w="2600"/>
            <w:tcBorders>
              <w:top w:val="single" w:color="D7DBE0" w:sz="4"/>
              <w:left w:val="single" w:color="D7DBE0" w:sz="4"/>
              <w:bottom w:val="single" w:color="D7DBE0" w:sz="4"/>
              <w:right w:val="single" w:color="D7DBE0" w:sz="4"/>
            </w:tcBorders>
            <w:shd w:fill="C3EAF8" w:val="clear"/>
            <w:tcMar>
              <w:top w:type="dxa" w:w="80"/>
              <w:left w:type="dxa" w:w="120"/>
              <w:bottom w:type="dxa" w:w="80"/>
              <w:right w:type="dxa" w:w="120"/>
            </w:tcMar>
          </w:tcPr>
          <w:p>
            <w:r>
              <w:rPr>
                <w:b/>
                <w:bCs/>
                <w:color w:val="0F1263"/>
              </w:rPr>
              <w:t xml:space="preserve">Document</w:t>
            </w:r>
          </w:p>
        </w:tc>
        <w:tc>
          <w:tcPr>
            <w:tcW w:type="dxa" w:w="3380"/>
            <w:tcBorders>
              <w:top w:val="single" w:color="D7DBE0" w:sz="4"/>
              <w:left w:val="single" w:color="D7DBE0" w:sz="4"/>
              <w:bottom w:val="single" w:color="D7DBE0" w:sz="4"/>
              <w:right w:val="single" w:color="D7DBE0" w:sz="4"/>
            </w:tcBorders>
            <w:shd w:fill="C3EAF8" w:val="clear"/>
            <w:tcMar>
              <w:top w:type="dxa" w:w="80"/>
              <w:left w:type="dxa" w:w="120"/>
              <w:bottom w:type="dxa" w:w="80"/>
              <w:right w:type="dxa" w:w="120"/>
            </w:tcMar>
          </w:tcPr>
          <w:p>
            <w:r>
              <w:rPr>
                <w:b/>
                <w:bCs/>
                <w:color w:val="0F1263"/>
              </w:rPr>
              <w:t xml:space="preserve">Format</w:t>
            </w:r>
          </w:p>
        </w:tc>
        <w:tc>
          <w:tcPr>
            <w:tcW w:type="dxa" w:w="3380"/>
            <w:tcBorders>
              <w:top w:val="single" w:color="D7DBE0" w:sz="4"/>
              <w:left w:val="single" w:color="D7DBE0" w:sz="4"/>
              <w:bottom w:val="single" w:color="D7DBE0" w:sz="4"/>
              <w:right w:val="single" w:color="D7DBE0" w:sz="4"/>
            </w:tcBorders>
            <w:shd w:fill="C3EAF8" w:val="clear"/>
            <w:tcMar>
              <w:top w:type="dxa" w:w="80"/>
              <w:left w:type="dxa" w:w="120"/>
              <w:bottom w:type="dxa" w:w="80"/>
              <w:right w:type="dxa" w:w="120"/>
            </w:tcMar>
          </w:tcPr>
          <w:p>
            <w:r>
              <w:rPr>
                <w:b/>
                <w:bCs/>
                <w:color w:val="0F1263"/>
              </w:rPr>
              <w:t xml:space="preserve">What it's for</w:t>
            </w:r>
          </w:p>
        </w:tc>
      </w:tr>
      <w:tr>
        <w:tc>
          <w:tcPr>
            <w:tcW w:type="dxa" w:w="260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Project plan</w:t>
            </w:r>
          </w:p>
        </w:tc>
        <w:tc>
          <w:tcPr>
            <w:tcW w:type="dxa" w:w="338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Excel</w:t>
            </w:r>
          </w:p>
        </w:tc>
        <w:tc>
          <w:tcPr>
            <w:tcW w:type="dxa" w:w="338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The master tracker — summary, full task plan, KPIs, dashboard, and risks. Imports cleanly into MS Project.</w:t>
            </w:r>
          </w:p>
        </w:tc>
      </w:tr>
      <w:tr>
        <w:tc>
          <w:tcPr>
            <w:tcW w:type="dxa" w:w="260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Governance charter</w:t>
            </w:r>
          </w:p>
        </w:tc>
        <w:tc>
          <w:tcPr>
            <w:tcW w:type="dxa" w:w="338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Word</w:t>
            </w:r>
          </w:p>
        </w:tc>
        <w:tc>
          <w:tcPr>
            <w:tcW w:type="dxa" w:w="338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The formal who-does-what: steering committee, integration office, clinical advisory group, and the named champions at each site.</w:t>
            </w:r>
          </w:p>
        </w:tc>
      </w:tr>
      <w:tr>
        <w:tc>
          <w:tcPr>
            <w:tcW w:type="dxa" w:w="260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Executive readout</w:t>
            </w:r>
          </w:p>
        </w:tc>
        <w:tc>
          <w:tcPr>
            <w:tcW w:type="dxa" w:w="338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PowerPoint</w:t>
            </w:r>
          </w:p>
        </w:tc>
        <w:tc>
          <w:tcPr>
            <w:tcW w:type="dxa" w:w="338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The plan-of-record deck for kickoff and milestone reviews — the full 90-day story.</w:t>
            </w:r>
          </w:p>
        </w:tc>
      </w:tr>
      <w:tr>
        <w:tc>
          <w:tcPr>
            <w:tcW w:type="dxa" w:w="260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Steering committee deck</w:t>
            </w:r>
          </w:p>
        </w:tc>
        <w:tc>
          <w:tcPr>
            <w:tcW w:type="dxa" w:w="338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PowerPoint</w:t>
            </w:r>
          </w:p>
        </w:tc>
        <w:tc>
          <w:tcPr>
            <w:tcW w:type="dxa" w:w="338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A status deck for weekly/bi-weekly reviews — overall health, progress, top risks, next 30 days, and decisions needed.</w:t>
            </w:r>
          </w:p>
        </w:tc>
      </w:tr>
    </w:tbl>
    <w:p>
      <w:pPr>
        <w:pStyle w:val="Heading2"/>
      </w:pPr>
      <w:r>
        <w:t xml:space="preserve">5.2 Phase-specific workbooks and documents</w:t>
      </w:r>
    </w:p>
    <w:p>
      <w:pPr>
        <w:spacing w:after="120"/>
      </w:pPr>
      <w:r>
        <w:t xml:space="preserve">Beyond the headline set, each phase produces focused documents seeded with your data. A representative sample:</w:t>
      </w:r>
    </w:p>
    <w:p>
      <w:pPr>
        <w:pStyle w:val="ListParagraph"/>
        <w:numPr>
          <w:ilvl w:val="0"/>
          <w:numId w:val="2"/>
        </w:numPr>
        <w:spacing w:after="80"/>
      </w:pPr>
      <w:r>
        <w:rPr>
          <w:b/>
          <w:bCs/>
        </w:rPr>
        <w:t xml:space="preserve">Phase 1: </w:t>
      </w:r>
      <w:r>
        <w:t xml:space="preserve">due-diligence questionnaire responses (with a risk-flags sheet), technology inventory, site workflow mapping, vendor contract review, and back-office systems assessment.</w:t>
      </w:r>
    </w:p>
    <w:p>
      <w:pPr>
        <w:pStyle w:val="ListParagraph"/>
        <w:numPr>
          <w:ilvl w:val="0"/>
          <w:numId w:val="2"/>
        </w:numPr>
        <w:spacing w:after="80"/>
      </w:pPr>
      <w:r>
        <w:rPr>
          <w:b/>
          <w:bCs/>
        </w:rPr>
        <w:t xml:space="preserve">Phase 2: </w:t>
      </w:r>
      <w:r>
        <w:t xml:space="preserve">security baseline and implementation tracker, the platform migration plan, the RCM (billing) workflow, and the finance/HR migration plans.</w:t>
      </w:r>
    </w:p>
    <w:p>
      <w:pPr>
        <w:pStyle w:val="ListParagraph"/>
        <w:numPr>
          <w:ilvl w:val="0"/>
          <w:numId w:val="2"/>
        </w:numPr>
        <w:spacing w:after="80"/>
      </w:pPr>
      <w:r>
        <w:rPr>
          <w:b/>
          <w:bCs/>
        </w:rPr>
        <w:t xml:space="preserve">Phase 3: </w:t>
      </w:r>
      <w:r>
        <w:t xml:space="preserve">the pilot cutover runbook, the site-by-site rollout schedule, the AI/automation backlog, and the exit-readiness scorecard.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0F1263" w:sz="18"/>
              <w:bottom w:val="none"/>
              <w:right w:val="none"/>
            </w:tcBorders>
            <w:shd w:fill="E6F6FC" w:val="clear"/>
            <w:tcMar>
              <w:top w:type="dxa" w:w="160"/>
              <w:left w:type="dxa" w:w="240"/>
              <w:bottom w:type="dxa" w:w="160"/>
              <w:right w:type="dxa" w:w="240"/>
            </w:tcMar>
          </w:tcPr>
          <w:p>
            <w:pPr>
              <w:spacing w:after="80"/>
            </w:pPr>
            <w:r>
              <w:rPr>
                <w:b/>
                <w:bCs/>
                <w:color w:val="0F1263"/>
              </w:rPr>
              <w:t xml:space="preserve">Pre-filled, not blank</w:t>
            </w:r>
          </w:p>
          <w:p>
            <w:r>
              <w:rPr>
                <w:color w:val="171717"/>
              </w:rPr>
              <w:t xml:space="preserve">These documents start from the information you entered — clinics, systems, champions, and so on — so you spend your time refining rather than typing from scratch. If a section is sparse, the catalog gently notes that more intake would fill it in; the document still downloads.</w:t>
            </w:r>
          </w:p>
        </w:tc>
      </w:tr>
    </w:tbl>
    <w:p>
      <w:pPr>
        <w:pStyle w:val="Heading2"/>
      </w:pPr>
      <w:r>
        <w:t xml:space="preserve">5.3 Data files for analysts</w:t>
      </w:r>
    </w:p>
    <w:p>
      <w:pPr>
        <w:spacing w:after="120"/>
      </w:pPr>
      <w:r>
        <w:t xml:space="preserve">For anyone who wants to push the data into another tool, the playbook also exports plain data files (JSON and CSV) that drop straight into Power BI or Microsoft Project without any cleanup. You can ignore these if you just want the polished documents.</w:t>
      </w:r>
    </w:p>
    <w:p>
      <w:pPr>
        <w:pStyle w:val="Heading2"/>
      </w:pPr>
      <w:r>
        <w:t xml:space="preserve">5.4 What "good" looks like when you review the outputs</w:t>
      </w:r>
    </w:p>
    <w:p>
      <w:pPr>
        <w:pStyle w:val="ListParagraph"/>
        <w:numPr>
          <w:ilvl w:val="0"/>
          <w:numId w:val="2"/>
        </w:numPr>
        <w:spacing w:after="80"/>
      </w:pPr>
      <w:r>
        <w:t xml:space="preserve">Open a workbook and confirm your clinic names and systems actually came through.</w:t>
      </w:r>
    </w:p>
    <w:p>
      <w:pPr>
        <w:pStyle w:val="ListParagraph"/>
        <w:numPr>
          <w:ilvl w:val="0"/>
          <w:numId w:val="2"/>
        </w:numPr>
        <w:spacing w:after="80"/>
      </w:pPr>
      <w:r>
        <w:t xml:space="preserve">Skim the governance charter and check that the champion roles make sense for how you'd really run an integration.</w:t>
      </w:r>
    </w:p>
    <w:p>
      <w:pPr>
        <w:pStyle w:val="ListParagraph"/>
        <w:numPr>
          <w:ilvl w:val="0"/>
          <w:numId w:val="2"/>
        </w:numPr>
        <w:spacing w:after="80"/>
      </w:pPr>
      <w:r>
        <w:t xml:space="preserve">Open the steering committee deck and ask: could I present this to a sponsor on Monday with light editing?</w:t>
      </w:r>
    </w:p>
    <w:p>
      <w:pPr>
        <w:pStyle w:val="ListParagraph"/>
        <w:numPr>
          <w:ilvl w:val="0"/>
          <w:numId w:val="2"/>
        </w:numPr>
        <w:spacing w:after="80"/>
      </w:pPr>
      <w:r>
        <w:t xml:space="preserve">That last question — "is this close to something I'd actually use?" — is exactly the feedback we're after.</w:t>
      </w:r>
    </w:p>
    <w:p>
      <w:pPr>
        <w:pStyle w:val="Heading1"/>
        <w:pageBreakBefore/>
      </w:pPr>
      <w:r>
        <w:t xml:space="preserve">6. Where the AI assistant fits</w:t>
      </w:r>
    </w:p>
    <w:p>
      <w:pPr>
        <w:spacing w:after="120"/>
      </w:pPr>
      <w:r>
        <w:t xml:space="preserve">The plan is complete without any AI — every task, KPI, governance role, and base risk comes from built-in templates. Claude is layered on top in two places to add the tailored, written-out content a template can't produce.</w:t>
      </w:r>
    </w:p>
    <w:p>
      <w:pPr>
        <w:pStyle w:val="Heading2"/>
      </w:pPr>
      <w:r>
        <w:t xml:space="preserve">6.1 Per-task assist</w:t>
      </w:r>
    </w:p>
    <w:p>
      <w:pPr>
        <w:spacing w:after="120"/>
      </w:pPr>
      <w:r>
        <w:t xml:space="preserve">On any Work Item, the "Ask Claude" panel gives you a tailored read on that specific task: a summary, suggested next steps, ortho-specific notes, flagged risks, and a draft note you can paste in. Use it while you're actually working an item — it's the everyday way to use the AI here.</w:t>
      </w:r>
    </w:p>
    <w:p>
      <w:pPr>
        <w:pStyle w:val="Heading2"/>
      </w:pPr>
      <w:r>
        <w:t xml:space="preserve">6.2 Whole-playbook narrative</w:t>
      </w:r>
    </w:p>
    <w:p>
      <w:pPr>
        <w:spacing w:after="120"/>
      </w:pPr>
      <w:r>
        <w:t xml:space="preserve">The Augment button on the playbook viewer writes the executive-level narrative across the entire plan: an executive summary, a brief per phase, extra acquisition-specific risks, and a note for each clinic. Use it before a kickoff or a steering review, or whenever the inputs have changed a lot.</w:t>
      </w:r>
    </w:p>
    <w:p>
      <w:pPr>
        <w:pStyle w:val="Heading2"/>
      </w:pPr>
      <w:r>
        <w:t xml:space="preserve">6.3 The golden rule: better inputs, better output</w:t>
      </w:r>
    </w:p>
    <w:p>
      <w:pPr>
        <w:spacing w:after="120"/>
      </w:pPr>
      <w:r>
        <w:t xml:space="preserve">Both AI features are grounded in what you've entered — they don't invent facts about your deal. The more specific and accurate your inputs (real clinic names, the actual EMR each site runs, named champions), the more specific and useful the output. Vague inputs produce vague output. When you're testing, it's worth filling in a couple of clinics properly so you can see the difference.</w:t>
      </w:r>
    </w:p>
    <w:p>
      <w:pPr>
        <w:pStyle w:val="Heading1"/>
        <w:pageBreakBefore/>
      </w:pPr>
      <w:r>
        <w:t xml:space="preserve">7. Giving us feedback</w:t>
      </w:r>
    </w:p>
    <w:p>
      <w:pPr>
        <w:spacing w:after="120"/>
      </w:pPr>
      <w:r>
        <w:t xml:space="preserve">This preview exists to get your reactions. The most useful feedback is specific. Here's a checklist of things worth forming an opinion on as you explore.</w:t>
      </w:r>
    </w:p>
    <w:p>
      <w:pPr>
        <w:pStyle w:val="Heading2"/>
      </w:pPr>
      <w:r>
        <w:t xml:space="preserve">7.1 Usability</w:t>
      </w:r>
    </w:p>
    <w:p>
      <w:pPr>
        <w:pStyle w:val="ListParagraph"/>
        <w:numPr>
          <w:ilvl w:val="0"/>
          <w:numId w:val="2"/>
        </w:numPr>
        <w:spacing w:after="80"/>
      </w:pPr>
      <w:r>
        <w:t xml:space="preserve">Could you start an integration without help? Where did you hesitate?</w:t>
      </w:r>
    </w:p>
    <w:p>
      <w:pPr>
        <w:pStyle w:val="ListParagraph"/>
        <w:numPr>
          <w:ilvl w:val="0"/>
          <w:numId w:val="2"/>
        </w:numPr>
        <w:spacing w:after="80"/>
      </w:pPr>
      <w:r>
        <w:t xml:space="preserve">Was it always clear what a screen was for and how to get back?</w:t>
      </w:r>
    </w:p>
    <w:p>
      <w:pPr>
        <w:pStyle w:val="ListParagraph"/>
        <w:numPr>
          <w:ilvl w:val="0"/>
          <w:numId w:val="2"/>
        </w:numPr>
        <w:spacing w:after="80"/>
      </w:pPr>
      <w:r>
        <w:t xml:space="preserve">Did the task lists match how you'd actually run an integration? Anything missing or out of order?</w:t>
      </w:r>
    </w:p>
    <w:p>
      <w:pPr>
        <w:pStyle w:val="ListParagraph"/>
        <w:numPr>
          <w:ilvl w:val="0"/>
          <w:numId w:val="2"/>
        </w:numPr>
        <w:spacing w:after="80"/>
      </w:pPr>
      <w:r>
        <w:t xml:space="preserve">Was the status (Not started / In progress / Complete) intuitive?</w:t>
      </w:r>
    </w:p>
    <w:p>
      <w:pPr>
        <w:pStyle w:val="Heading2"/>
      </w:pPr>
      <w:r>
        <w:t xml:space="preserve">7.2 Usefulness of the outputs</w:t>
      </w:r>
    </w:p>
    <w:p>
      <w:pPr>
        <w:pStyle w:val="ListParagraph"/>
        <w:numPr>
          <w:ilvl w:val="0"/>
          <w:numId w:val="2"/>
        </w:numPr>
        <w:spacing w:after="80"/>
      </w:pPr>
      <w:r>
        <w:t xml:space="preserve">Open at least three documents. Would you actually use them? What would you change first?</w:t>
      </w:r>
    </w:p>
    <w:p>
      <w:pPr>
        <w:pStyle w:val="ListParagraph"/>
        <w:numPr>
          <w:ilvl w:val="0"/>
          <w:numId w:val="2"/>
        </w:numPr>
        <w:spacing w:after="80"/>
      </w:pPr>
      <w:r>
        <w:t xml:space="preserve">Did the right information carry through from what you entered?</w:t>
      </w:r>
    </w:p>
    <w:p>
      <w:pPr>
        <w:pStyle w:val="ListParagraph"/>
        <w:numPr>
          <w:ilvl w:val="0"/>
          <w:numId w:val="2"/>
        </w:numPr>
        <w:spacing w:after="80"/>
      </w:pPr>
      <w:r>
        <w:t xml:space="preserve">Is anything you'd expect to deliver to a sponsor or board missing?</w:t>
      </w:r>
    </w:p>
    <w:p>
      <w:pPr>
        <w:pStyle w:val="Heading2"/>
      </w:pPr>
      <w:r>
        <w:t xml:space="preserve">7.3 The AI assistance</w:t>
      </w:r>
    </w:p>
    <w:p>
      <w:pPr>
        <w:pStyle w:val="ListParagraph"/>
        <w:numPr>
          <w:ilvl w:val="0"/>
          <w:numId w:val="2"/>
        </w:numPr>
        <w:spacing w:after="80"/>
      </w:pPr>
      <w:r>
        <w:t xml:space="preserve">Were Claude's suggestions on-point for an orthopedic acquisition, or too generic?</w:t>
      </w:r>
    </w:p>
    <w:p>
      <w:pPr>
        <w:pStyle w:val="ListParagraph"/>
        <w:numPr>
          <w:ilvl w:val="0"/>
          <w:numId w:val="2"/>
        </w:numPr>
        <w:spacing w:after="80"/>
      </w:pPr>
      <w:r>
        <w:t xml:space="preserve">Did the executive narrative read like something you'd put in front of leadership?</w:t>
      </w:r>
    </w:p>
    <w:p>
      <w:pPr>
        <w:pStyle w:val="Heading2"/>
      </w:pPr>
      <w:r>
        <w:t xml:space="preserve">7.4 What to include when you report something</w:t>
      </w:r>
    </w:p>
    <w:p>
      <w:pPr>
        <w:spacing w:after="120"/>
      </w:pPr>
      <w:r>
        <w:t xml:space="preserve">If something looks wrong or confusing, a quick note with these details helps us the most:</w:t>
      </w:r>
    </w:p>
    <w:p>
      <w:pPr>
        <w:pStyle w:val="ListParagraph"/>
        <w:numPr>
          <w:ilvl w:val="0"/>
          <w:numId w:val="3"/>
        </w:numPr>
        <w:spacing w:after="80"/>
      </w:pPr>
      <w:r>
        <w:t xml:space="preserve">What screen you were on (the link in your browser's address bar is perfect).</w:t>
      </w:r>
    </w:p>
    <w:p>
      <w:pPr>
        <w:pStyle w:val="ListParagraph"/>
        <w:numPr>
          <w:ilvl w:val="0"/>
          <w:numId w:val="3"/>
        </w:numPr>
        <w:spacing w:after="80"/>
      </w:pPr>
      <w:r>
        <w:t xml:space="preserve">What you clicked or typed.</w:t>
      </w:r>
    </w:p>
    <w:p>
      <w:pPr>
        <w:pStyle w:val="ListParagraph"/>
        <w:numPr>
          <w:ilvl w:val="0"/>
          <w:numId w:val="3"/>
        </w:numPr>
        <w:spacing w:after="80"/>
      </w:pPr>
      <w:r>
        <w:t xml:space="preserve">What you expected to happen.</w:t>
      </w:r>
    </w:p>
    <w:p>
      <w:pPr>
        <w:pStyle w:val="ListParagraph"/>
        <w:numPr>
          <w:ilvl w:val="0"/>
          <w:numId w:val="3"/>
        </w:numPr>
        <w:spacing w:after="80"/>
      </w:pPr>
      <w:r>
        <w:t xml:space="preserve">What actually happened (a screenshot is ideal).</w:t>
      </w:r>
    </w:p>
    <w:p>
      <w:pPr>
        <w:pStyle w:val="Heading1"/>
        <w:pageBreakBefore/>
      </w:pPr>
      <w:r>
        <w:t xml:space="preserve">8. Quick answers</w:t>
      </w:r>
    </w:p>
    <w:p>
      <w:pPr>
        <w:pStyle w:val="Heading2"/>
      </w:pPr>
      <w:r>
        <w:t xml:space="preserve">8.1 Common questions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D7DBE0" w:sz="4"/>
              <w:left w:val="single" w:color="D7DBE0" w:sz="4"/>
              <w:bottom w:val="single" w:color="D7DBE0" w:sz="4"/>
              <w:right w:val="single" w:color="D7DBE0" w:sz="4"/>
            </w:tcBorders>
            <w:shd w:fill="F8F8F8" w:val="clear"/>
            <w:tcMar>
              <w:top w:type="dxa" w:w="80"/>
              <w:left w:type="dxa" w:w="120"/>
              <w:bottom w:type="dxa" w:w="80"/>
              <w:right w:type="dxa" w:w="120"/>
            </w:tcMar>
          </w:tcPr>
          <w:p>
            <w:r>
              <w:rPr>
                <w:b/>
                <w:bCs/>
                <w:color w:val="0F1263"/>
              </w:rPr>
              <w:t xml:space="preserve">Do I need to install anything?</w:t>
            </w:r>
          </w:p>
        </w:tc>
        <w:tc>
          <w:tcPr>
            <w:tcW w:type="dxa" w:w="676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No. It runs entirely in your web browser.</w:t>
            </w:r>
          </w:p>
        </w:tc>
      </w:tr>
      <w:tr>
        <w:tc>
          <w:tcPr>
            <w:tcW w:type="dxa" w:w="2600"/>
            <w:tcBorders>
              <w:top w:val="single" w:color="D7DBE0" w:sz="4"/>
              <w:left w:val="single" w:color="D7DBE0" w:sz="4"/>
              <w:bottom w:val="single" w:color="D7DBE0" w:sz="4"/>
              <w:right w:val="single" w:color="D7DBE0" w:sz="4"/>
            </w:tcBorders>
            <w:shd w:fill="F8F8F8" w:val="clear"/>
            <w:tcMar>
              <w:top w:type="dxa" w:w="80"/>
              <w:left w:type="dxa" w:w="120"/>
              <w:bottom w:type="dxa" w:w="80"/>
              <w:right w:type="dxa" w:w="120"/>
            </w:tcMar>
          </w:tcPr>
          <w:p>
            <w:r>
              <w:rPr>
                <w:b/>
                <w:bCs/>
                <w:color w:val="0F1263"/>
              </w:rPr>
              <w:t xml:space="preserve">Do I need a login?</w:t>
            </w:r>
          </w:p>
        </w:tc>
        <w:tc>
          <w:tcPr>
            <w:tcW w:type="dxa" w:w="676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Not on this preview. You can do everything without signing in.</w:t>
            </w:r>
          </w:p>
        </w:tc>
      </w:tr>
      <w:tr>
        <w:tc>
          <w:tcPr>
            <w:tcW w:type="dxa" w:w="2600"/>
            <w:tcBorders>
              <w:top w:val="single" w:color="D7DBE0" w:sz="4"/>
              <w:left w:val="single" w:color="D7DBE0" w:sz="4"/>
              <w:bottom w:val="single" w:color="D7DBE0" w:sz="4"/>
              <w:right w:val="single" w:color="D7DBE0" w:sz="4"/>
            </w:tcBorders>
            <w:shd w:fill="F8F8F8" w:val="clear"/>
            <w:tcMar>
              <w:top w:type="dxa" w:w="80"/>
              <w:left w:type="dxa" w:w="120"/>
              <w:bottom w:type="dxa" w:w="80"/>
              <w:right w:type="dxa" w:w="120"/>
            </w:tcMar>
          </w:tcPr>
          <w:p>
            <w:r>
              <w:rPr>
                <w:b/>
                <w:bCs/>
                <w:color w:val="0F1263"/>
              </w:rPr>
              <w:t xml:space="preserve">Is my data private?</w:t>
            </w:r>
          </w:p>
        </w:tc>
        <w:tc>
          <w:tcPr>
            <w:tcW w:type="dxa" w:w="676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Treat it as not private. Anyone with a playbook's link can open it, and the preview may be reset. Use only sample, non-confidential data.</w:t>
            </w:r>
          </w:p>
        </w:tc>
      </w:tr>
      <w:tr>
        <w:tc>
          <w:tcPr>
            <w:tcW w:type="dxa" w:w="2600"/>
            <w:tcBorders>
              <w:top w:val="single" w:color="D7DBE0" w:sz="4"/>
              <w:left w:val="single" w:color="D7DBE0" w:sz="4"/>
              <w:bottom w:val="single" w:color="D7DBE0" w:sz="4"/>
              <w:right w:val="single" w:color="D7DBE0" w:sz="4"/>
            </w:tcBorders>
            <w:shd w:fill="F8F8F8" w:val="clear"/>
            <w:tcMar>
              <w:top w:type="dxa" w:w="80"/>
              <w:left w:type="dxa" w:w="120"/>
              <w:bottom w:type="dxa" w:w="80"/>
              <w:right w:type="dxa" w:w="120"/>
            </w:tcMar>
          </w:tcPr>
          <w:p>
            <w:r>
              <w:rPr>
                <w:b/>
                <w:bCs/>
                <w:color w:val="0F1263"/>
              </w:rPr>
              <w:t xml:space="preserve">Can I share what I made?</w:t>
            </w:r>
          </w:p>
        </w:tc>
        <w:tc>
          <w:tcPr>
            <w:tcW w:type="dxa" w:w="676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Yes — copy the link from your browser and send it. The person you send it to can view and download, but on a locked-down production version they'd need to sign in to make changes.</w:t>
            </w:r>
          </w:p>
        </w:tc>
      </w:tr>
      <w:tr>
        <w:tc>
          <w:tcPr>
            <w:tcW w:type="dxa" w:w="2600"/>
            <w:tcBorders>
              <w:top w:val="single" w:color="D7DBE0" w:sz="4"/>
              <w:left w:val="single" w:color="D7DBE0" w:sz="4"/>
              <w:bottom w:val="single" w:color="D7DBE0" w:sz="4"/>
              <w:right w:val="single" w:color="D7DBE0" w:sz="4"/>
            </w:tcBorders>
            <w:shd w:fill="F8F8F8" w:val="clear"/>
            <w:tcMar>
              <w:top w:type="dxa" w:w="80"/>
              <w:left w:type="dxa" w:w="120"/>
              <w:bottom w:type="dxa" w:w="80"/>
              <w:right w:type="dxa" w:w="120"/>
            </w:tcMar>
          </w:tcPr>
          <w:p>
            <w:r>
              <w:rPr>
                <w:b/>
                <w:bCs/>
                <w:color w:val="0F1263"/>
              </w:rPr>
              <w:t xml:space="preserve">My playbook disappeared.</w:t>
            </w:r>
          </w:p>
        </w:tc>
        <w:tc>
          <w:tcPr>
            <w:tcW w:type="dxa" w:w="676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The preview is occasionally reset as we update it. That's expected here; just create a new sample.</w:t>
            </w:r>
          </w:p>
        </w:tc>
      </w:tr>
      <w:tr>
        <w:tc>
          <w:tcPr>
            <w:tcW w:type="dxa" w:w="2600"/>
            <w:tcBorders>
              <w:top w:val="single" w:color="D7DBE0" w:sz="4"/>
              <w:left w:val="single" w:color="D7DBE0" w:sz="4"/>
              <w:bottom w:val="single" w:color="D7DBE0" w:sz="4"/>
              <w:right w:val="single" w:color="D7DBE0" w:sz="4"/>
            </w:tcBorders>
            <w:shd w:fill="F8F8F8" w:val="clear"/>
            <w:tcMar>
              <w:top w:type="dxa" w:w="80"/>
              <w:left w:type="dxa" w:w="120"/>
              <w:bottom w:type="dxa" w:w="80"/>
              <w:right w:type="dxa" w:w="120"/>
            </w:tcMar>
          </w:tcPr>
          <w:p>
            <w:r>
              <w:rPr>
                <w:b/>
                <w:bCs/>
                <w:color w:val="0F1263"/>
              </w:rPr>
              <w:t xml:space="preserve">The site won't load on my office network.</w:t>
            </w:r>
          </w:p>
        </w:tc>
        <w:tc>
          <w:tcPr>
            <w:tcW w:type="dxa" w:w="676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Some corporate firewalls are slow to trust brand-new web addresses. Try another network or a phone hotspot, or ask IT to allow the address.</w:t>
            </w:r>
          </w:p>
        </w:tc>
      </w:tr>
      <w:tr>
        <w:tc>
          <w:tcPr>
            <w:tcW w:type="dxa" w:w="2600"/>
            <w:tcBorders>
              <w:top w:val="single" w:color="D7DBE0" w:sz="4"/>
              <w:left w:val="single" w:color="D7DBE0" w:sz="4"/>
              <w:bottom w:val="single" w:color="D7DBE0" w:sz="4"/>
              <w:right w:val="single" w:color="D7DBE0" w:sz="4"/>
            </w:tcBorders>
            <w:shd w:fill="F8F8F8" w:val="clear"/>
            <w:tcMar>
              <w:top w:type="dxa" w:w="80"/>
              <w:left w:type="dxa" w:w="120"/>
              <w:bottom w:type="dxa" w:w="80"/>
              <w:right w:type="dxa" w:w="120"/>
            </w:tcMar>
          </w:tcPr>
          <w:p>
            <w:r>
              <w:rPr>
                <w:b/>
                <w:bCs/>
                <w:color w:val="0F1263"/>
              </w:rPr>
              <w:t xml:space="preserve">Did I break it? It looks blank.</w:t>
            </w:r>
          </w:p>
        </w:tc>
        <w:tc>
          <w:tcPr>
            <w:tcW w:type="dxa" w:w="676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Refresh the page. If a task editor looks empty, make sure a task is selected in the left rail.</w:t>
            </w:r>
          </w:p>
        </w:tc>
      </w:tr>
    </w:tbl>
    <w:p>
      <w:pPr>
        <w:pStyle w:val="Heading2"/>
      </w:pPr>
      <w:r>
        <w:t xml:space="preserve">8.2 A few terms you'll see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D7DBE0" w:sz="4"/>
              <w:left w:val="single" w:color="D7DBE0" w:sz="4"/>
              <w:bottom w:val="single" w:color="D7DBE0" w:sz="4"/>
              <w:right w:val="single" w:color="D7DBE0" w:sz="4"/>
            </w:tcBorders>
            <w:shd w:fill="F8F8F8" w:val="clear"/>
            <w:tcMar>
              <w:top w:type="dxa" w:w="80"/>
              <w:left w:type="dxa" w:w="120"/>
              <w:bottom w:type="dxa" w:w="80"/>
              <w:right w:type="dxa" w:w="120"/>
            </w:tcMar>
          </w:tcPr>
          <w:p>
            <w:r>
              <w:rPr>
                <w:b/>
                <w:bCs/>
                <w:color w:val="0F1263"/>
              </w:rPr>
              <w:t xml:space="preserve">Work Item</w:t>
            </w:r>
          </w:p>
        </w:tc>
        <w:tc>
          <w:tcPr>
            <w:tcW w:type="dxa" w:w="676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A single trackable task inside a phase, with a status, an owner, and notes.</w:t>
            </w:r>
          </w:p>
        </w:tc>
      </w:tr>
      <w:tr>
        <w:tc>
          <w:tcPr>
            <w:tcW w:type="dxa" w:w="2600"/>
            <w:tcBorders>
              <w:top w:val="single" w:color="D7DBE0" w:sz="4"/>
              <w:left w:val="single" w:color="D7DBE0" w:sz="4"/>
              <w:bottom w:val="single" w:color="D7DBE0" w:sz="4"/>
              <w:right w:val="single" w:color="D7DBE0" w:sz="4"/>
            </w:tcBorders>
            <w:shd w:fill="F8F8F8" w:val="clear"/>
            <w:tcMar>
              <w:top w:type="dxa" w:w="80"/>
              <w:left w:type="dxa" w:w="120"/>
              <w:bottom w:type="dxa" w:w="80"/>
              <w:right w:type="dxa" w:w="120"/>
            </w:tcMar>
          </w:tcPr>
          <w:p>
            <w:r>
              <w:rPr>
                <w:b/>
                <w:bCs/>
                <w:color w:val="0F1263"/>
              </w:rPr>
              <w:t xml:space="preserve">IMO</w:t>
            </w:r>
          </w:p>
        </w:tc>
        <w:tc>
          <w:tcPr>
            <w:tcW w:type="dxa" w:w="676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Integration Management Office — the central team running the integration.</w:t>
            </w:r>
          </w:p>
        </w:tc>
      </w:tr>
      <w:tr>
        <w:tc>
          <w:tcPr>
            <w:tcW w:type="dxa" w:w="2600"/>
            <w:tcBorders>
              <w:top w:val="single" w:color="D7DBE0" w:sz="4"/>
              <w:left w:val="single" w:color="D7DBE0" w:sz="4"/>
              <w:bottom w:val="single" w:color="D7DBE0" w:sz="4"/>
              <w:right w:val="single" w:color="D7DBE0" w:sz="4"/>
            </w:tcBorders>
            <w:shd w:fill="F8F8F8" w:val="clear"/>
            <w:tcMar>
              <w:top w:type="dxa" w:w="80"/>
              <w:left w:type="dxa" w:w="120"/>
              <w:bottom w:type="dxa" w:w="80"/>
              <w:right w:type="dxa" w:w="120"/>
            </w:tcMar>
          </w:tcPr>
          <w:p>
            <w:r>
              <w:rPr>
                <w:b/>
                <w:bCs/>
                <w:color w:val="0F1263"/>
              </w:rPr>
              <w:t xml:space="preserve">Champion</w:t>
            </w:r>
          </w:p>
        </w:tc>
        <w:tc>
          <w:tcPr>
            <w:tcW w:type="dxa" w:w="676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A named person at a clinic who owns the local transition (surgeon lead, PA/NP, practice manager, billing lead, IT lead).</w:t>
            </w:r>
          </w:p>
        </w:tc>
      </w:tr>
      <w:tr>
        <w:tc>
          <w:tcPr>
            <w:tcW w:type="dxa" w:w="2600"/>
            <w:tcBorders>
              <w:top w:val="single" w:color="D7DBE0" w:sz="4"/>
              <w:left w:val="single" w:color="D7DBE0" w:sz="4"/>
              <w:bottom w:val="single" w:color="D7DBE0" w:sz="4"/>
              <w:right w:val="single" w:color="D7DBE0" w:sz="4"/>
            </w:tcBorders>
            <w:shd w:fill="F8F8F8" w:val="clear"/>
            <w:tcMar>
              <w:top w:type="dxa" w:w="80"/>
              <w:left w:type="dxa" w:w="120"/>
              <w:bottom w:type="dxa" w:w="80"/>
              <w:right w:type="dxa" w:w="120"/>
            </w:tcMar>
          </w:tcPr>
          <w:p>
            <w:r>
              <w:rPr>
                <w:b/>
                <w:bCs/>
                <w:color w:val="0F1263"/>
              </w:rPr>
              <w:t xml:space="preserve">RYG</w:t>
            </w:r>
          </w:p>
        </w:tc>
        <w:tc>
          <w:tcPr>
            <w:tcW w:type="dxa" w:w="676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Red/Yellow/Green — the program stoplight (Overall, Timeline, Budget, Issues).</w:t>
            </w:r>
          </w:p>
        </w:tc>
      </w:tr>
      <w:tr>
        <w:tc>
          <w:tcPr>
            <w:tcW w:type="dxa" w:w="2600"/>
            <w:tcBorders>
              <w:top w:val="single" w:color="D7DBE0" w:sz="4"/>
              <w:left w:val="single" w:color="D7DBE0" w:sz="4"/>
              <w:bottom w:val="single" w:color="D7DBE0" w:sz="4"/>
              <w:right w:val="single" w:color="D7DBE0" w:sz="4"/>
            </w:tcBorders>
            <w:shd w:fill="F8F8F8" w:val="clear"/>
            <w:tcMar>
              <w:top w:type="dxa" w:w="80"/>
              <w:left w:type="dxa" w:w="120"/>
              <w:bottom w:type="dxa" w:w="80"/>
              <w:right w:type="dxa" w:w="120"/>
            </w:tcMar>
          </w:tcPr>
          <w:p>
            <w:r>
              <w:rPr>
                <w:b/>
                <w:bCs/>
                <w:color w:val="0F1263"/>
              </w:rPr>
              <w:t xml:space="preserve">EMR / PM</w:t>
            </w:r>
          </w:p>
        </w:tc>
        <w:tc>
          <w:tcPr>
            <w:tcW w:type="dxa" w:w="676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The clinical record system (EMR) and the scheduling/billing system (PM) a clinic runs on.</w:t>
            </w:r>
          </w:p>
        </w:tc>
      </w:tr>
      <w:tr>
        <w:tc>
          <w:tcPr>
            <w:tcW w:type="dxa" w:w="2600"/>
            <w:tcBorders>
              <w:top w:val="single" w:color="D7DBE0" w:sz="4"/>
              <w:left w:val="single" w:color="D7DBE0" w:sz="4"/>
              <w:bottom w:val="single" w:color="D7DBE0" w:sz="4"/>
              <w:right w:val="single" w:color="D7DBE0" w:sz="4"/>
            </w:tcBorders>
            <w:shd w:fill="F8F8F8" w:val="clear"/>
            <w:tcMar>
              <w:top w:type="dxa" w:w="80"/>
              <w:left w:type="dxa" w:w="120"/>
              <w:bottom w:type="dxa" w:w="80"/>
              <w:right w:type="dxa" w:w="120"/>
            </w:tcMar>
          </w:tcPr>
          <w:p>
            <w:r>
              <w:rPr>
                <w:b/>
                <w:bCs/>
                <w:color w:val="0F1263"/>
              </w:rPr>
              <w:t xml:space="preserve">RCM</w:t>
            </w:r>
          </w:p>
        </w:tc>
        <w:tc>
          <w:tcPr>
            <w:tcW w:type="dxa" w:w="676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Revenue Cycle Management — billing, coding, claims, and denials.</w:t>
            </w:r>
          </w:p>
        </w:tc>
      </w:tr>
      <w:tr>
        <w:tc>
          <w:tcPr>
            <w:tcW w:type="dxa" w:w="2600"/>
            <w:tcBorders>
              <w:top w:val="single" w:color="D7DBE0" w:sz="4"/>
              <w:left w:val="single" w:color="D7DBE0" w:sz="4"/>
              <w:bottom w:val="single" w:color="D7DBE0" w:sz="4"/>
              <w:right w:val="single" w:color="D7DBE0" w:sz="4"/>
            </w:tcBorders>
            <w:shd w:fill="F8F8F8" w:val="clear"/>
            <w:tcMar>
              <w:top w:type="dxa" w:w="80"/>
              <w:left w:type="dxa" w:w="120"/>
              <w:bottom w:type="dxa" w:w="80"/>
              <w:right w:type="dxa" w:w="120"/>
            </w:tcMar>
          </w:tcPr>
          <w:p>
            <w:r>
              <w:rPr>
                <w:b/>
                <w:bCs/>
                <w:color w:val="0F1263"/>
              </w:rPr>
              <w:t xml:space="preserve">PACS</w:t>
            </w:r>
          </w:p>
        </w:tc>
        <w:tc>
          <w:tcPr>
            <w:tcW w:type="dxa" w:w="676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The medical imaging system — central to orthopedics.</w:t>
            </w:r>
          </w:p>
        </w:tc>
      </w:tr>
      <w:tr>
        <w:tc>
          <w:tcPr>
            <w:tcW w:type="dxa" w:w="2600"/>
            <w:tcBorders>
              <w:top w:val="single" w:color="D7DBE0" w:sz="4"/>
              <w:left w:val="single" w:color="D7DBE0" w:sz="4"/>
              <w:bottom w:val="single" w:color="D7DBE0" w:sz="4"/>
              <w:right w:val="single" w:color="D7DBE0" w:sz="4"/>
            </w:tcBorders>
            <w:shd w:fill="F8F8F8" w:val="clear"/>
            <w:tcMar>
              <w:top w:type="dxa" w:w="80"/>
              <w:left w:type="dxa" w:w="120"/>
              <w:bottom w:type="dxa" w:w="80"/>
              <w:right w:type="dxa" w:w="120"/>
            </w:tcMar>
          </w:tcPr>
          <w:p>
            <w:r>
              <w:rPr>
                <w:b/>
                <w:bCs/>
                <w:color w:val="0F1263"/>
              </w:rPr>
              <w:t xml:space="preserve">KPI</w:t>
            </w:r>
          </w:p>
        </w:tc>
        <w:tc>
          <w:tcPr>
            <w:tcW w:type="dxa" w:w="6760"/>
            <w:tcBorders>
              <w:top w:val="single" w:color="D7DBE0" w:sz="4"/>
              <w:left w:val="single" w:color="D7DBE0" w:sz="4"/>
              <w:bottom w:val="single" w:color="D7DBE0" w:sz="4"/>
              <w:right w:val="single" w:color="D7DBE0" w:sz="4"/>
            </w:tcBorders>
            <w:tcMar>
              <w:top w:type="dxa" w:w="80"/>
              <w:left w:type="dxa" w:w="120"/>
              <w:bottom w:type="dxa" w:w="80"/>
              <w:right w:type="dxa" w:w="120"/>
            </w:tcMar>
          </w:tcPr>
          <w:p>
            <w:r>
              <w:rPr>
                <w:color w:val="171717"/>
              </w:rPr>
              <w:t xml:space="preserve">A key performance indicator the program is measured against.</w:t>
            </w:r>
          </w:p>
        </w:tc>
      </w:tr>
    </w:tbl>
    <w:p>
      <w:pPr>
        <w:pStyle w:val="Heading2"/>
      </w:pPr>
      <w:r>
        <w:t xml:space="preserve">8.3 Want the full detail?</w:t>
      </w:r>
    </w:p>
    <w:p>
      <w:pPr>
        <w:spacing w:after="120"/>
      </w:pPr>
      <w:r>
        <w:t xml:space="preserve">This guide is deliberately short. The complete User Guide (docs/ortho-playbook-user-guide.docx) goes deeper on every screen, every export, and the best-practice cadence for running a real integration — plus a separate administrator section for the people who deploy it. Reach for it once you're past the first look.</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707372"/>
        <w:sz w:val="18"/>
        <w:szCs w:val="18"/>
      </w:rPr>
      <w:t xml:space="preserve">Page </w:t>
    </w:r>
    <w:r>
      <w:rPr>
        <w:color w:val="707372"/>
        <w:sz w:val="18"/>
        <w:szCs w:val="18"/>
      </w:rPr>
      <w:fldChar w:fldCharType="begin"/>
      <w:instrText xml:space="preserve">PAGE</w:instrText>
      <w:fldChar w:fldCharType="separate"/>
      <w:fldChar w:fldCharType="end"/>
    </w:r>
    <w:r>
      <w:rPr>
        <w:color w:val="707372"/>
        <w:sz w:val="18"/>
        <w:szCs w:val="18"/>
      </w:rPr>
      <w:t xml:space="preserve"> of </w:t>
    </w:r>
    <w:r>
      <w:rPr>
        <w:color w:val="707372"/>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707372"/>
        <w:sz w:val="18"/>
        <w:szCs w:val="18"/>
      </w:rPr>
      <w:t xml:space="preserve">SequelOrtho · Ortho M&amp;A Playbook — Getting Started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ontserrat" w:cs="Montserrat" w:eastAsia="Montserrat" w:hAnsi="Montserrat"/>
        <w:color w:val="171717"/>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Montserrat" w:cs="Montserrat" w:eastAsia="Montserrat" w:hAnsi="Montserrat"/>
      <w:b/>
      <w:bCs/>
      <w:color w:val="0F1263"/>
      <w:sz w:val="36"/>
      <w:szCs w:val="36"/>
    </w:rPr>
  </w:style>
  <w:style w:type="paragraph" w:styleId="Heading2">
    <w:name w:val="Heading 2"/>
    <w:basedOn w:val="Normal"/>
    <w:next w:val="Normal"/>
    <w:qFormat/>
    <w:pPr>
      <w:spacing w:after="160" w:before="280"/>
      <w:outlineLvl w:val="1"/>
    </w:pPr>
    <w:rPr>
      <w:rFonts w:ascii="Montserrat" w:cs="Montserrat" w:eastAsia="Montserrat" w:hAnsi="Montserrat"/>
      <w:b/>
      <w:bCs/>
      <w:color w:val="009DDD"/>
      <w:sz w:val="28"/>
      <w:szCs w:val="28"/>
    </w:rPr>
  </w:style>
  <w:style w:type="paragraph" w:styleId="Heading3">
    <w:name w:val="Heading 3"/>
    <w:basedOn w:val="Normal"/>
    <w:next w:val="Normal"/>
    <w:qFormat/>
    <w:pPr>
      <w:spacing w:after="120" w:before="200"/>
      <w:outlineLvl w:val="2"/>
    </w:pPr>
    <w:rPr>
      <w:rFonts w:ascii="Montserrat" w:cs="Montserrat" w:eastAsia="Montserrat" w:hAnsi="Montserrat"/>
      <w:b/>
      <w:bCs/>
      <w:color w:val="006A9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8965c6782dbba74493f3fa111f75acf987d69354.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 M&amp;A Playbook — Getting Started (Reviewer's Guide)</dc:title>
  <dc:creator>SequelOrtho</dc:creator>
  <dc:description>A short, usability-focused getting-started guide for stakeholders evaluating the Ortho M&amp;A Playbook preview.</dc:description>
  <cp:lastModifiedBy>Un-named</cp:lastModifiedBy>
  <cp:revision>1</cp:revision>
  <dcterms:created xsi:type="dcterms:W3CDTF">2026-06-08T21:58:51.777Z</dcterms:created>
  <dcterms:modified xsi:type="dcterms:W3CDTF">2026-06-08T21:58:51.777Z</dcterms:modified>
</cp:coreProperties>
</file>

<file path=docProps/custom.xml><?xml version="1.0" encoding="utf-8"?>
<Properties xmlns="http://schemas.openxmlformats.org/officeDocument/2006/custom-properties" xmlns:vt="http://schemas.openxmlformats.org/officeDocument/2006/docPropsVTypes"/>
</file>